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0EA3" w14:textId="16E71560" w:rsidR="00231F39" w:rsidRDefault="00231F39" w:rsidP="00231F3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301ACA4B" wp14:editId="7C1ACE91">
            <wp:simplePos x="0" y="0"/>
            <wp:positionH relativeFrom="column">
              <wp:posOffset>19050</wp:posOffset>
            </wp:positionH>
            <wp:positionV relativeFrom="paragraph">
              <wp:posOffset>-304800</wp:posOffset>
            </wp:positionV>
            <wp:extent cx="1511935" cy="8839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31F39">
        <w:rPr>
          <w:b/>
          <w:bCs/>
          <w:sz w:val="32"/>
          <w:szCs w:val="32"/>
          <w:u w:val="single"/>
        </w:rPr>
        <w:t>Risk Management</w:t>
      </w:r>
    </w:p>
    <w:p w14:paraId="3A2BBDB8" w14:textId="77777777" w:rsidR="00231F39" w:rsidRPr="00231F39" w:rsidRDefault="00231F39" w:rsidP="00231F39">
      <w:pPr>
        <w:jc w:val="center"/>
        <w:rPr>
          <w:b/>
          <w:bCs/>
          <w:sz w:val="32"/>
          <w:szCs w:val="32"/>
          <w:u w:val="single"/>
        </w:rPr>
      </w:pPr>
    </w:p>
    <w:p w14:paraId="12455053" w14:textId="6B2D0C03" w:rsidR="00231F39" w:rsidRDefault="00231F39" w:rsidP="00231F39">
      <w:pPr>
        <w:jc w:val="both"/>
      </w:pPr>
      <w:r>
        <w:t>The Board of Trustees has reviewed the key risks to which the Trust is exposed together with the operating, financial</w:t>
      </w:r>
      <w:r>
        <w:t xml:space="preserve"> </w:t>
      </w:r>
      <w:r>
        <w:t>and compliance controls that have been implemented to mitigate those risks. The Board of Trustees is of the view that</w:t>
      </w:r>
      <w:r>
        <w:t xml:space="preserve"> </w:t>
      </w:r>
      <w:r>
        <w:t>there is a formal on-going process for identifying, evaluating and managing the academy Trust’s significant risks. The</w:t>
      </w:r>
      <w:r>
        <w:t xml:space="preserve"> </w:t>
      </w:r>
      <w:r>
        <w:t>risk register is a working document that is formerly reviewed on a termly basis by the Trust Board</w:t>
      </w:r>
    </w:p>
    <w:p w14:paraId="08273667" w14:textId="77777777" w:rsidR="00231F39" w:rsidRPr="00231F39" w:rsidRDefault="00231F39" w:rsidP="00231F39">
      <w:pPr>
        <w:jc w:val="both"/>
        <w:rPr>
          <w:b/>
          <w:bCs/>
        </w:rPr>
      </w:pPr>
      <w:r w:rsidRPr="00231F39">
        <w:rPr>
          <w:b/>
          <w:bCs/>
        </w:rPr>
        <w:t>The Risk and Control Framework</w:t>
      </w:r>
    </w:p>
    <w:p w14:paraId="55CE54E5" w14:textId="4500FB0B" w:rsidR="00231F39" w:rsidRDefault="00231F39" w:rsidP="00231F39">
      <w:pPr>
        <w:jc w:val="both"/>
      </w:pPr>
      <w:r>
        <w:t>The Trust’s system of internal financial control is based on a framework of regular management information and</w:t>
      </w:r>
      <w:r>
        <w:t xml:space="preserve"> </w:t>
      </w:r>
      <w:r>
        <w:t>administrative procedures including the segregation of duties and a system of delegation and accountability. In</w:t>
      </w:r>
      <w:r>
        <w:t xml:space="preserve"> </w:t>
      </w:r>
      <w:r>
        <w:t>particular, it includes;</w:t>
      </w:r>
    </w:p>
    <w:p w14:paraId="7EC800FD" w14:textId="51ABB6DA" w:rsidR="00231F39" w:rsidRDefault="00231F39" w:rsidP="00231F39">
      <w:pPr>
        <w:pStyle w:val="ListParagraph"/>
        <w:numPr>
          <w:ilvl w:val="0"/>
          <w:numId w:val="1"/>
        </w:numPr>
      </w:pPr>
      <w:r w:rsidRPr="00231F39">
        <w:t>Establishment of an effective and consistent assurance framework for all committee</w:t>
      </w:r>
      <w:r>
        <w:t>s</w:t>
      </w:r>
    </w:p>
    <w:p w14:paraId="3A3EA8AF" w14:textId="0DB55EB9" w:rsidR="00231F39" w:rsidRDefault="00231F39" w:rsidP="00231F39">
      <w:pPr>
        <w:pStyle w:val="ListParagraph"/>
        <w:numPr>
          <w:ilvl w:val="0"/>
          <w:numId w:val="1"/>
        </w:numPr>
      </w:pPr>
      <w:r>
        <w:t>C</w:t>
      </w:r>
      <w:r w:rsidRPr="00231F39">
        <w:t>omprehensive budget and monitoring systems with an annual budget and monthly periodic financial reports</w:t>
      </w:r>
      <w:r>
        <w:t xml:space="preserve"> </w:t>
      </w:r>
      <w:r>
        <w:t>which are reviewed by the Board of Trustees</w:t>
      </w:r>
    </w:p>
    <w:p w14:paraId="19A84B33" w14:textId="3A366D96" w:rsidR="00231F39" w:rsidRDefault="00231F39" w:rsidP="00231F39">
      <w:pPr>
        <w:pStyle w:val="ListParagraph"/>
        <w:numPr>
          <w:ilvl w:val="0"/>
          <w:numId w:val="1"/>
        </w:numPr>
      </w:pPr>
      <w:r>
        <w:t>Regular review by the Board, Audit committee and Finance, HR and Premises committee of reports which</w:t>
      </w:r>
      <w:r>
        <w:t xml:space="preserve"> </w:t>
      </w:r>
      <w:r>
        <w:t>indicate financial performance against forecasts.</w:t>
      </w:r>
    </w:p>
    <w:p w14:paraId="53BD2819" w14:textId="558033F9" w:rsidR="00231F39" w:rsidRDefault="00231F39" w:rsidP="00231F39">
      <w:pPr>
        <w:pStyle w:val="ListParagraph"/>
        <w:numPr>
          <w:ilvl w:val="0"/>
          <w:numId w:val="1"/>
        </w:numPr>
      </w:pPr>
      <w:r>
        <w:t>Creating a consistency of approach in key systems and processes across the Trust to mitigate risk of local</w:t>
      </w:r>
      <w:r>
        <w:t xml:space="preserve"> </w:t>
      </w:r>
      <w:r>
        <w:t>variance</w:t>
      </w:r>
    </w:p>
    <w:p w14:paraId="1AB82D5D" w14:textId="2B3FC77F" w:rsidR="00231F39" w:rsidRDefault="00231F39" w:rsidP="00231F39">
      <w:pPr>
        <w:pStyle w:val="ListParagraph"/>
        <w:numPr>
          <w:ilvl w:val="0"/>
          <w:numId w:val="1"/>
        </w:numPr>
      </w:pPr>
      <w:r>
        <w:t>Clearly defined purchasing guidelines</w:t>
      </w:r>
    </w:p>
    <w:p w14:paraId="26B0F9F1" w14:textId="6A3ABCE4" w:rsidR="00231F39" w:rsidRDefault="00231F39" w:rsidP="00231F39">
      <w:pPr>
        <w:pStyle w:val="ListParagraph"/>
        <w:numPr>
          <w:ilvl w:val="0"/>
          <w:numId w:val="1"/>
        </w:numPr>
      </w:pPr>
      <w:r>
        <w:t>Delegation of authority and segregation of duties</w:t>
      </w:r>
    </w:p>
    <w:p w14:paraId="6E714C05" w14:textId="2241ED2F" w:rsidR="00231F39" w:rsidRDefault="00231F39" w:rsidP="00231F39">
      <w:pPr>
        <w:pStyle w:val="ListParagraph"/>
        <w:numPr>
          <w:ilvl w:val="0"/>
          <w:numId w:val="1"/>
        </w:numPr>
      </w:pPr>
      <w:r>
        <w:t>Internal audit reviews of business processes and risk areas.</w:t>
      </w:r>
    </w:p>
    <w:p w14:paraId="392B6CB7" w14:textId="4C3CB9A1" w:rsidR="00231F39" w:rsidRDefault="00231F39" w:rsidP="00231F39">
      <w:pPr>
        <w:jc w:val="both"/>
      </w:pPr>
      <w:r>
        <w:t>On a termly basis, the auditor reports to the board of Trustees, through the audit committee on the operation of the</w:t>
      </w:r>
      <w:r>
        <w:t xml:space="preserve"> </w:t>
      </w:r>
      <w:r>
        <w:t>systems of control and on the discharge of the board of Trustees’ financial responsibilities and annually prepares an</w:t>
      </w:r>
      <w:r>
        <w:t xml:space="preserve"> </w:t>
      </w:r>
      <w:r>
        <w:t>annual summary report to the committee outlining the areas reviewed, key findings, recommendations and conclusions</w:t>
      </w:r>
      <w:r>
        <w:t xml:space="preserve"> </w:t>
      </w:r>
      <w:r>
        <w:t>to help the committee consider actions and assess year on year progress.</w:t>
      </w:r>
    </w:p>
    <w:p w14:paraId="51F67668" w14:textId="77777777" w:rsidR="00231F39" w:rsidRPr="00231F39" w:rsidRDefault="00231F39" w:rsidP="00231F39">
      <w:pPr>
        <w:rPr>
          <w:b/>
          <w:bCs/>
        </w:rPr>
      </w:pPr>
      <w:r w:rsidRPr="00231F39">
        <w:rPr>
          <w:b/>
          <w:bCs/>
        </w:rPr>
        <w:t>Review of Effectiveness</w:t>
      </w:r>
    </w:p>
    <w:p w14:paraId="0609A4A5" w14:textId="2A2BCF1B" w:rsidR="00231F39" w:rsidRDefault="00231F39" w:rsidP="00231F39">
      <w:pPr>
        <w:jc w:val="both"/>
      </w:pPr>
      <w:r>
        <w:t>As accounting officer, the Chief Executive Officer has responsibility for reviewing the effectiveness of the systems of</w:t>
      </w:r>
      <w:r>
        <w:t xml:space="preserve"> </w:t>
      </w:r>
      <w:r>
        <w:t>internal control. During the year, the review has been informed by:</w:t>
      </w:r>
    </w:p>
    <w:p w14:paraId="3AFE071D" w14:textId="2B9B2398" w:rsidR="00231F39" w:rsidRDefault="00231F39" w:rsidP="00231F39">
      <w:pPr>
        <w:pStyle w:val="ListParagraph"/>
        <w:numPr>
          <w:ilvl w:val="0"/>
          <w:numId w:val="1"/>
        </w:numPr>
        <w:jc w:val="both"/>
      </w:pPr>
      <w:r>
        <w:t>the work of the Audit Committee</w:t>
      </w:r>
    </w:p>
    <w:p w14:paraId="3E63ADB7" w14:textId="449EB6AA" w:rsidR="00231F39" w:rsidRDefault="00231F39" w:rsidP="00231F39">
      <w:pPr>
        <w:pStyle w:val="ListParagraph"/>
        <w:numPr>
          <w:ilvl w:val="0"/>
          <w:numId w:val="1"/>
        </w:numPr>
        <w:jc w:val="both"/>
      </w:pPr>
      <w:r>
        <w:t>the work of the external auditor</w:t>
      </w:r>
    </w:p>
    <w:p w14:paraId="110C1894" w14:textId="18DB2033" w:rsidR="00231F39" w:rsidRDefault="00231F39" w:rsidP="00231F39">
      <w:pPr>
        <w:pStyle w:val="ListParagraph"/>
        <w:numPr>
          <w:ilvl w:val="0"/>
          <w:numId w:val="1"/>
        </w:numPr>
        <w:jc w:val="both"/>
      </w:pPr>
      <w:r>
        <w:t>the work of the internal auditor</w:t>
      </w:r>
    </w:p>
    <w:p w14:paraId="1817AA1A" w14:textId="1DA1F8BB" w:rsidR="00231F39" w:rsidRDefault="00231F39" w:rsidP="00231F39">
      <w:pPr>
        <w:pStyle w:val="ListParagraph"/>
        <w:numPr>
          <w:ilvl w:val="0"/>
          <w:numId w:val="1"/>
        </w:numPr>
        <w:jc w:val="both"/>
      </w:pPr>
      <w:r>
        <w:t>the financial management and governance self-assessment process or the school resource management self</w:t>
      </w:r>
      <w:r>
        <w:t>-</w:t>
      </w:r>
      <w:r>
        <w:t>assessment tool</w:t>
      </w:r>
    </w:p>
    <w:p w14:paraId="23A3B5F4" w14:textId="57850363" w:rsidR="00231F39" w:rsidRDefault="00231F39" w:rsidP="00231F39">
      <w:pPr>
        <w:pStyle w:val="ListParagraph"/>
        <w:numPr>
          <w:ilvl w:val="0"/>
          <w:numId w:val="1"/>
        </w:numPr>
        <w:jc w:val="both"/>
      </w:pPr>
      <w:r>
        <w:t>the work of executive managers within the Trust who have responsibility for the development and maintenance</w:t>
      </w:r>
      <w:r>
        <w:t xml:space="preserve"> </w:t>
      </w:r>
      <w:r>
        <w:t>of the internal control framework.</w:t>
      </w:r>
    </w:p>
    <w:p w14:paraId="5A88276F" w14:textId="77777777" w:rsidR="00231F39" w:rsidRPr="00231F39" w:rsidRDefault="00231F39" w:rsidP="00231F39">
      <w:pPr>
        <w:rPr>
          <w:b/>
          <w:bCs/>
        </w:rPr>
      </w:pPr>
      <w:r w:rsidRPr="00231F39">
        <w:rPr>
          <w:b/>
          <w:bCs/>
        </w:rPr>
        <w:t>The Purpose of the System of Internal Control</w:t>
      </w:r>
    </w:p>
    <w:p w14:paraId="67B839A5" w14:textId="32A2B7C5" w:rsidR="00231F39" w:rsidRDefault="00231F39" w:rsidP="00231F39">
      <w:pPr>
        <w:jc w:val="both"/>
      </w:pPr>
      <w:r>
        <w:t>The system of internal control is designed to manage risk to a reasonable level rather than to eliminate all risk of failure</w:t>
      </w:r>
      <w:r>
        <w:t xml:space="preserve"> </w:t>
      </w:r>
      <w:r>
        <w:t>to achieve policies, aims and objectives. It can therefore only provide reasonable and not absolute assurance of</w:t>
      </w:r>
      <w:r>
        <w:t xml:space="preserve"> </w:t>
      </w:r>
      <w:r>
        <w:t>effectiveness. The system of internal control is based on an on-going process designed to identify and prioritise the</w:t>
      </w:r>
      <w:r>
        <w:t xml:space="preserve"> </w:t>
      </w:r>
      <w:r>
        <w:t>risks to the achievement of Trust policies, aims and objectives, to evaluate the likelihood of those risks being realised</w:t>
      </w:r>
      <w:r>
        <w:t xml:space="preserve"> </w:t>
      </w:r>
      <w:r>
        <w:t>and the impact should they be realised, and to manage them efficiently, effectively and economically.</w:t>
      </w:r>
      <w:r>
        <w:t xml:space="preserve"> </w:t>
      </w:r>
    </w:p>
    <w:sectPr w:rsidR="00231F39" w:rsidSect="00644A7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F7E"/>
    <w:multiLevelType w:val="hybridMultilevel"/>
    <w:tmpl w:val="EC368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C3A39"/>
    <w:multiLevelType w:val="hybridMultilevel"/>
    <w:tmpl w:val="64DCB7BC"/>
    <w:lvl w:ilvl="0" w:tplc="AC085C9C">
      <w:numFmt w:val="bullet"/>
      <w:lvlText w:val="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454CC"/>
    <w:multiLevelType w:val="hybridMultilevel"/>
    <w:tmpl w:val="D81AE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C74D2"/>
    <w:multiLevelType w:val="hybridMultilevel"/>
    <w:tmpl w:val="00C03E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39"/>
    <w:rsid w:val="00231F39"/>
    <w:rsid w:val="00234480"/>
    <w:rsid w:val="0064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D8BF1"/>
  <w15:chartTrackingRefBased/>
  <w15:docId w15:val="{DFDBA5F0-05FA-4234-8FB6-79B1BCA4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Moore</dc:creator>
  <cp:keywords/>
  <dc:description/>
  <cp:lastModifiedBy>Jennifer Moore</cp:lastModifiedBy>
  <cp:revision>1</cp:revision>
  <dcterms:created xsi:type="dcterms:W3CDTF">2022-11-29T14:40:00Z</dcterms:created>
  <dcterms:modified xsi:type="dcterms:W3CDTF">2022-11-29T14:49:00Z</dcterms:modified>
</cp:coreProperties>
</file>